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3C7C" w14:textId="35FED316" w:rsidR="002A6C07" w:rsidRPr="007C51FA" w:rsidRDefault="009E32B2">
      <w:pPr>
        <w:rPr>
          <w:rFonts w:ascii="Arial Nova" w:hAnsi="Arial Nova" w:cs="Arial"/>
        </w:rPr>
      </w:pPr>
      <w:r w:rsidRPr="007C51FA">
        <w:rPr>
          <w:rFonts w:ascii="Arial Nova" w:hAnsi="Arial Nova" w:cs="Arial"/>
        </w:rPr>
        <w:t xml:space="preserve">Szekspir </w:t>
      </w:r>
      <w:proofErr w:type="spellStart"/>
      <w:r w:rsidRPr="007C51FA">
        <w:rPr>
          <w:rFonts w:ascii="Arial Nova" w:hAnsi="Arial Nova" w:cs="Arial"/>
        </w:rPr>
        <w:t>forever</w:t>
      </w:r>
      <w:proofErr w:type="spellEnd"/>
      <w:r w:rsidR="007C51FA" w:rsidRPr="007C51FA">
        <w:rPr>
          <w:rFonts w:ascii="Arial Nova" w:hAnsi="Arial Nova" w:cs="Arial"/>
        </w:rPr>
        <w:t xml:space="preserve">! </w:t>
      </w:r>
      <w:r w:rsidRPr="007C51FA">
        <w:rPr>
          <w:rFonts w:ascii="Arial Nova" w:hAnsi="Arial Nova" w:cs="Arial"/>
        </w:rPr>
        <w:t>Spektakl Andrzeja Seweryna zarejestrowany w 2019 roku dla Teatru Telewizji miał za sobą długą historię. Jego premierowa wersja została przedstawiona w Teatrze im. Juliusza Słowackiego w Krakowie 26 września 20</w:t>
      </w:r>
      <w:r w:rsidR="004957BE" w:rsidRPr="007C51FA">
        <w:rPr>
          <w:rFonts w:ascii="Arial Nova" w:hAnsi="Arial Nova" w:cs="Arial"/>
        </w:rPr>
        <w:t>09</w:t>
      </w:r>
      <w:r w:rsidRPr="007C51FA">
        <w:rPr>
          <w:rFonts w:ascii="Arial Nova" w:hAnsi="Arial Nova" w:cs="Arial"/>
        </w:rPr>
        <w:t xml:space="preserve"> roku, nosiła wówczas tytuł </w:t>
      </w:r>
      <w:r w:rsidRPr="007C51FA">
        <w:rPr>
          <w:rFonts w:ascii="Arial Nova" w:hAnsi="Arial Nova" w:cs="Arial"/>
          <w:i/>
          <w:iCs/>
        </w:rPr>
        <w:t>Wyobraźcie sobie...</w:t>
      </w:r>
      <w:r w:rsidR="002A6C07" w:rsidRPr="007C51FA">
        <w:rPr>
          <w:rFonts w:ascii="Arial Nova" w:hAnsi="Arial Nova" w:cs="Arial"/>
        </w:rPr>
        <w:t xml:space="preserve">, reżyserem tego spektaklu był mieszkający we Francji, współtwórca scenariusza, Jerzy </w:t>
      </w:r>
      <w:proofErr w:type="spellStart"/>
      <w:r w:rsidR="002A6C07" w:rsidRPr="007C51FA">
        <w:rPr>
          <w:rFonts w:ascii="Arial Nova" w:hAnsi="Arial Nova" w:cs="Arial"/>
        </w:rPr>
        <w:t>Klesyk</w:t>
      </w:r>
      <w:proofErr w:type="spellEnd"/>
      <w:r w:rsidR="002A6C07" w:rsidRPr="007C51FA">
        <w:rPr>
          <w:rFonts w:ascii="Arial Nova" w:hAnsi="Arial Nova" w:cs="Arial"/>
        </w:rPr>
        <w:t>.</w:t>
      </w:r>
      <w:r w:rsidRPr="007C51FA">
        <w:rPr>
          <w:rFonts w:ascii="Arial Nova" w:hAnsi="Arial Nova" w:cs="Arial"/>
        </w:rPr>
        <w:t xml:space="preserve"> To przedstawienie było pokazywane na kilku polskich festiwalach teatralnych, następnie, pod zmienionym tytułem </w:t>
      </w:r>
      <w:r w:rsidRPr="007C51FA">
        <w:rPr>
          <w:rFonts w:ascii="Arial Nova" w:hAnsi="Arial Nova" w:cs="Arial"/>
          <w:i/>
          <w:iCs/>
        </w:rPr>
        <w:t xml:space="preserve">Szekspir </w:t>
      </w:r>
      <w:proofErr w:type="spellStart"/>
      <w:r w:rsidR="00D54550" w:rsidRPr="007C51FA">
        <w:rPr>
          <w:rFonts w:ascii="Arial Nova" w:hAnsi="Arial Nova" w:cs="Arial"/>
          <w:i/>
          <w:iCs/>
        </w:rPr>
        <w:t>f</w:t>
      </w:r>
      <w:r w:rsidR="002A6C07" w:rsidRPr="007C51FA">
        <w:rPr>
          <w:rFonts w:ascii="Arial Nova" w:hAnsi="Arial Nova" w:cs="Arial"/>
          <w:i/>
          <w:iCs/>
        </w:rPr>
        <w:t>o</w:t>
      </w:r>
      <w:r w:rsidRPr="007C51FA">
        <w:rPr>
          <w:rFonts w:ascii="Arial Nova" w:hAnsi="Arial Nova" w:cs="Arial"/>
          <w:i/>
          <w:iCs/>
        </w:rPr>
        <w:t>rever</w:t>
      </w:r>
      <w:proofErr w:type="spellEnd"/>
      <w:r w:rsidRPr="007C51FA">
        <w:rPr>
          <w:rFonts w:ascii="Arial Nova" w:hAnsi="Arial Nova" w:cs="Arial"/>
          <w:i/>
          <w:iCs/>
        </w:rPr>
        <w:t>!</w:t>
      </w:r>
      <w:r w:rsidRPr="007C51FA">
        <w:rPr>
          <w:rFonts w:ascii="Arial Nova" w:hAnsi="Arial Nova" w:cs="Arial"/>
        </w:rPr>
        <w:t xml:space="preserve"> i, jak można sądzić, w </w:t>
      </w:r>
      <w:r w:rsidR="002A6C07" w:rsidRPr="007C51FA">
        <w:rPr>
          <w:rFonts w:ascii="Arial Nova" w:hAnsi="Arial Nova" w:cs="Arial"/>
        </w:rPr>
        <w:t xml:space="preserve">odmienionej </w:t>
      </w:r>
      <w:r w:rsidRPr="007C51FA">
        <w:rPr>
          <w:rFonts w:ascii="Arial Nova" w:hAnsi="Arial Nova" w:cs="Arial"/>
        </w:rPr>
        <w:t>wersji,</w:t>
      </w:r>
      <w:r w:rsidR="002A6C07" w:rsidRPr="007C51FA">
        <w:rPr>
          <w:rFonts w:ascii="Arial Nova" w:hAnsi="Arial Nova" w:cs="Arial"/>
        </w:rPr>
        <w:t xml:space="preserve"> monodram Seweryna</w:t>
      </w:r>
      <w:r w:rsidRPr="007C51FA">
        <w:rPr>
          <w:rFonts w:ascii="Arial Nova" w:hAnsi="Arial Nova" w:cs="Arial"/>
        </w:rPr>
        <w:t xml:space="preserve"> mi</w:t>
      </w:r>
      <w:r w:rsidR="002A6C07" w:rsidRPr="007C51FA">
        <w:rPr>
          <w:rFonts w:ascii="Arial Nova" w:hAnsi="Arial Nova" w:cs="Arial"/>
        </w:rPr>
        <w:t>a</w:t>
      </w:r>
      <w:r w:rsidRPr="007C51FA">
        <w:rPr>
          <w:rFonts w:ascii="Arial Nova" w:hAnsi="Arial Nova" w:cs="Arial"/>
        </w:rPr>
        <w:t>ł premierę na scenie warszawskiego Teatru Polskiego w dniach 10 i 11 września 2011. Tym spektaklem</w:t>
      </w:r>
      <w:r w:rsidR="002A6C07" w:rsidRPr="007C51FA">
        <w:rPr>
          <w:rFonts w:ascii="Arial Nova" w:hAnsi="Arial Nova" w:cs="Arial"/>
        </w:rPr>
        <w:t xml:space="preserve"> po siedmiu latach</w:t>
      </w:r>
      <w:r w:rsidRPr="007C51FA">
        <w:rPr>
          <w:rFonts w:ascii="Arial Nova" w:hAnsi="Arial Nova" w:cs="Arial"/>
        </w:rPr>
        <w:t xml:space="preserve"> Andrzej Seweryn obchodził 15 grudnia 2018 roku swój jubileusz pięćdziesięciolecia pracy scenicznej. Musiał więc uznać, że jest to ważna część jego dorobku artystycznego. Nie mamy dokładnego opisu kolejnych realizacji, trudno więc stwierdzić, co się zmieniło</w:t>
      </w:r>
      <w:r w:rsidR="002A6C07" w:rsidRPr="007C51FA">
        <w:rPr>
          <w:rFonts w:ascii="Arial Nova" w:hAnsi="Arial Nova" w:cs="Arial"/>
        </w:rPr>
        <w:t xml:space="preserve"> a co pozostało w ostatniej z cyklu realizacji telewizyjnej. </w:t>
      </w:r>
    </w:p>
    <w:p w14:paraId="3CACF49A" w14:textId="196C93AA" w:rsidR="00594481" w:rsidRPr="007C51FA" w:rsidRDefault="002A6C07">
      <w:pPr>
        <w:rPr>
          <w:rFonts w:ascii="Arial Nova" w:hAnsi="Arial Nova" w:cs="Arial"/>
        </w:rPr>
      </w:pPr>
      <w:r w:rsidRPr="007C51FA">
        <w:rPr>
          <w:rFonts w:ascii="Arial Nova" w:hAnsi="Arial Nova" w:cs="Arial"/>
        </w:rPr>
        <w:t xml:space="preserve">Obu współtwórców przedstawienia, Jerzego </w:t>
      </w:r>
      <w:proofErr w:type="spellStart"/>
      <w:r w:rsidRPr="007C51FA">
        <w:rPr>
          <w:rFonts w:ascii="Arial Nova" w:hAnsi="Arial Nova" w:cs="Arial"/>
        </w:rPr>
        <w:t>Klesyka</w:t>
      </w:r>
      <w:proofErr w:type="spellEnd"/>
      <w:r w:rsidRPr="007C51FA">
        <w:rPr>
          <w:rFonts w:ascii="Arial Nova" w:hAnsi="Arial Nova" w:cs="Arial"/>
        </w:rPr>
        <w:t xml:space="preserve"> i Piotra Kamińskiego, tłumacza i współautora scenariusza, poznał aktor podczas swojej wieloletniej pracy w Paryżu. Dla Piotra Kamińskiego, dziennikarza, krytyka muzycznego, znawcy opery, ta znajomość stała się początkiem nowej przygody twórczej. To Seweryn</w:t>
      </w:r>
      <w:r w:rsidR="00D900B7" w:rsidRPr="007C51FA">
        <w:rPr>
          <w:rFonts w:ascii="Arial Nova" w:hAnsi="Arial Nova" w:cs="Arial"/>
        </w:rPr>
        <w:t>, jak w którymś z wywiadów twierdził Kamiński,</w:t>
      </w:r>
      <w:r w:rsidRPr="007C51FA">
        <w:rPr>
          <w:rFonts w:ascii="Arial Nova" w:hAnsi="Arial Nova" w:cs="Arial"/>
        </w:rPr>
        <w:t xml:space="preserve"> namówił go na nowe tłumaczenie dramatów Szekspira tak, żeby brzmiały współcześnie dla widza z początku dwudziestego</w:t>
      </w:r>
      <w:r w:rsidR="00AE5D68" w:rsidRPr="007C51FA">
        <w:rPr>
          <w:rFonts w:ascii="Arial Nova" w:hAnsi="Arial Nova" w:cs="Arial"/>
        </w:rPr>
        <w:t xml:space="preserve"> pierwszego</w:t>
      </w:r>
      <w:r w:rsidRPr="007C51FA">
        <w:rPr>
          <w:rFonts w:ascii="Arial Nova" w:hAnsi="Arial Nova" w:cs="Arial"/>
        </w:rPr>
        <w:t xml:space="preserve"> wieku. </w:t>
      </w:r>
      <w:r w:rsidR="00AE5D68" w:rsidRPr="007C51FA">
        <w:rPr>
          <w:rFonts w:ascii="Arial Nova" w:hAnsi="Arial Nova" w:cs="Arial"/>
        </w:rPr>
        <w:t>Najpierw</w:t>
      </w:r>
      <w:r w:rsidR="00594481" w:rsidRPr="007C51FA">
        <w:rPr>
          <w:rFonts w:ascii="Arial Nova" w:hAnsi="Arial Nova" w:cs="Arial"/>
        </w:rPr>
        <w:t xml:space="preserve"> jego przekłady publikowało Wydawnictwo Uniwersytetu Warszawskiego, za ich namową tłumacz nawiązał współpracę z Anną </w:t>
      </w:r>
      <w:proofErr w:type="spellStart"/>
      <w:r w:rsidR="00594481" w:rsidRPr="007C51FA">
        <w:rPr>
          <w:rFonts w:ascii="Arial Nova" w:hAnsi="Arial Nova" w:cs="Arial"/>
        </w:rPr>
        <w:t>Ceterą</w:t>
      </w:r>
      <w:proofErr w:type="spellEnd"/>
      <w:r w:rsidR="00594481" w:rsidRPr="007C51FA">
        <w:rPr>
          <w:rFonts w:ascii="Arial Nova" w:hAnsi="Arial Nova" w:cs="Arial"/>
        </w:rPr>
        <w:t xml:space="preserve">, anglistką, znawczynią recepcji Szekspira w Polsce. W wyniku ich współpracy powstała już cała seria najnowszych tłumaczeń angielskiego dramaturga, opatrzonych wnikliwymi wstępami Anny </w:t>
      </w:r>
      <w:proofErr w:type="spellStart"/>
      <w:r w:rsidR="00594481" w:rsidRPr="007C51FA">
        <w:rPr>
          <w:rFonts w:ascii="Arial Nova" w:hAnsi="Arial Nova" w:cs="Arial"/>
        </w:rPr>
        <w:t>Cetery</w:t>
      </w:r>
      <w:proofErr w:type="spellEnd"/>
      <w:r w:rsidR="00594481" w:rsidRPr="007C51FA">
        <w:rPr>
          <w:rFonts w:ascii="Arial Nova" w:hAnsi="Arial Nova" w:cs="Arial"/>
        </w:rPr>
        <w:t xml:space="preserve">. </w:t>
      </w:r>
    </w:p>
    <w:p w14:paraId="5010CEB4" w14:textId="490D67F7" w:rsidR="00B24799" w:rsidRPr="007C51FA" w:rsidRDefault="00B24799">
      <w:pPr>
        <w:rPr>
          <w:rFonts w:ascii="Arial Nova" w:hAnsi="Arial Nova" w:cs="Arial"/>
        </w:rPr>
      </w:pPr>
      <w:r w:rsidRPr="007C51FA">
        <w:rPr>
          <w:rFonts w:ascii="Arial Nova" w:hAnsi="Arial Nova" w:cs="Arial"/>
        </w:rPr>
        <w:t>Monodram Andrzeja Seweryna składa się z trzech warstw – ostatnia, najmniej oczywista, to dialog aktora z publicznością, bardzo rzadko wykorzystywany w teatralnych inscenizacjach. W tym przypadku ważny również dlatego, że spektakl telewizyjny został zarejestrowany</w:t>
      </w:r>
      <w:r w:rsidR="00475BB4" w:rsidRPr="007C51FA">
        <w:rPr>
          <w:rFonts w:ascii="Arial Nova" w:hAnsi="Arial Nova" w:cs="Arial"/>
        </w:rPr>
        <w:t xml:space="preserve"> w czasie</w:t>
      </w:r>
      <w:r w:rsidRPr="007C51FA">
        <w:rPr>
          <w:rFonts w:ascii="Arial Nova" w:hAnsi="Arial Nova" w:cs="Arial"/>
        </w:rPr>
        <w:t xml:space="preserve"> normalnego przedstawienia granego na małej scenie Teatru Polskiego i później, podczas montażu, nieco podretuszowany. </w:t>
      </w:r>
      <w:r w:rsidR="00AE5D68" w:rsidRPr="007C51FA">
        <w:rPr>
          <w:rFonts w:ascii="Arial Nova" w:hAnsi="Arial Nova" w:cs="Arial"/>
        </w:rPr>
        <w:t xml:space="preserve">Aktor zadaje widzom pytania, na które aktor chce usłyszeć odpowiedź. Nie jest przygotowany na to, co usłyszy, musi improwizować, zadaje pytania pomocnicze. </w:t>
      </w:r>
      <w:r w:rsidR="00475BB4" w:rsidRPr="007C51FA">
        <w:rPr>
          <w:rFonts w:ascii="Arial Nova" w:hAnsi="Arial Nova" w:cs="Arial"/>
        </w:rPr>
        <w:t>W ten sposób łączy kolejne części scenariusza</w:t>
      </w:r>
      <w:r w:rsidR="00AE5D68" w:rsidRPr="007C51FA">
        <w:rPr>
          <w:rFonts w:ascii="Arial Nova" w:hAnsi="Arial Nova" w:cs="Arial"/>
        </w:rPr>
        <w:t xml:space="preserve"> </w:t>
      </w:r>
      <w:r w:rsidR="00475BB4" w:rsidRPr="007C51FA">
        <w:rPr>
          <w:rFonts w:ascii="Arial Nova" w:hAnsi="Arial Nova" w:cs="Arial"/>
        </w:rPr>
        <w:t xml:space="preserve">i wyjaśnia, co wydarzy się za chwilę. </w:t>
      </w:r>
      <w:r w:rsidR="00AE5D68" w:rsidRPr="007C51FA">
        <w:rPr>
          <w:rFonts w:ascii="Arial Nova" w:hAnsi="Arial Nova" w:cs="Arial"/>
        </w:rPr>
        <w:t xml:space="preserve"> </w:t>
      </w:r>
      <w:r w:rsidRPr="007C51FA">
        <w:rPr>
          <w:rFonts w:ascii="Arial Nova" w:hAnsi="Arial Nova" w:cs="Arial"/>
        </w:rPr>
        <w:br/>
      </w:r>
      <w:r w:rsidRPr="007C51FA">
        <w:rPr>
          <w:rFonts w:ascii="Arial Nova" w:hAnsi="Arial Nova" w:cs="Arial"/>
        </w:rPr>
        <w:lastRenderedPageBreak/>
        <w:t xml:space="preserve">Warstwa druga to osobiste komentarze aktora odwołującego się czasem do osób i wydarzeń ważnych dla recepcji Szekspira w polskim teatrze. W pamięci krytyków teatralnych nieżyjącego już pokolenia niezwykle istotne były występy angielskiego </w:t>
      </w:r>
      <w:proofErr w:type="spellStart"/>
      <w:r w:rsidRPr="007C51FA">
        <w:rPr>
          <w:rFonts w:ascii="Arial Nova" w:hAnsi="Arial Nova" w:cs="Arial"/>
        </w:rPr>
        <w:t>Royal</w:t>
      </w:r>
      <w:proofErr w:type="spellEnd"/>
      <w:r w:rsidRPr="007C51FA">
        <w:rPr>
          <w:rFonts w:ascii="Arial Nova" w:hAnsi="Arial Nova" w:cs="Arial"/>
        </w:rPr>
        <w:t xml:space="preserve"> Shakespeare Company, który w 1957 roku grał w Warszawie </w:t>
      </w:r>
      <w:r w:rsidRPr="007C51FA">
        <w:rPr>
          <w:rFonts w:ascii="Arial Nova" w:hAnsi="Arial Nova" w:cs="Arial"/>
          <w:i/>
          <w:iCs/>
        </w:rPr>
        <w:t xml:space="preserve">Tytusa </w:t>
      </w:r>
      <w:proofErr w:type="spellStart"/>
      <w:r w:rsidRPr="007C51FA">
        <w:rPr>
          <w:rFonts w:ascii="Arial Nova" w:hAnsi="Arial Nova" w:cs="Arial"/>
          <w:i/>
          <w:iCs/>
        </w:rPr>
        <w:t>Andronikusa</w:t>
      </w:r>
      <w:proofErr w:type="spellEnd"/>
      <w:r w:rsidRPr="007C51FA">
        <w:rPr>
          <w:rFonts w:ascii="Arial Nova" w:hAnsi="Arial Nova" w:cs="Arial"/>
        </w:rPr>
        <w:t xml:space="preserve"> w reżyserii Petera Brooka </w:t>
      </w:r>
      <w:r w:rsidR="00475BB4" w:rsidRPr="007C51FA">
        <w:rPr>
          <w:rFonts w:ascii="Arial Nova" w:hAnsi="Arial Nova" w:cs="Arial"/>
        </w:rPr>
        <w:t>z</w:t>
      </w:r>
      <w:r w:rsidRPr="007C51FA">
        <w:rPr>
          <w:rFonts w:ascii="Arial Nova" w:hAnsi="Arial Nova" w:cs="Arial"/>
        </w:rPr>
        <w:t xml:space="preserve"> </w:t>
      </w:r>
      <w:proofErr w:type="spellStart"/>
      <w:r w:rsidRPr="007C51FA">
        <w:rPr>
          <w:rFonts w:ascii="Arial Nova" w:hAnsi="Arial Nova" w:cs="Arial"/>
        </w:rPr>
        <w:t>Laurencem</w:t>
      </w:r>
      <w:proofErr w:type="spellEnd"/>
      <w:r w:rsidRPr="007C51FA">
        <w:rPr>
          <w:rFonts w:ascii="Arial Nova" w:hAnsi="Arial Nova" w:cs="Arial"/>
        </w:rPr>
        <w:t xml:space="preserve"> Olivierem w głównej roli. To w czasie tych występów blisko zaprzyjaźnił się z Brookiem i prowadził z nim długie rozmowy polski historyk literatury i krytyk teatralny, Jan Kott. Kott wówczas zwracał uwagę na podobieństwo </w:t>
      </w:r>
      <w:r w:rsidRPr="007C51FA">
        <w:rPr>
          <w:rFonts w:ascii="Arial Nova" w:hAnsi="Arial Nova" w:cs="Arial"/>
          <w:i/>
          <w:iCs/>
        </w:rPr>
        <w:t xml:space="preserve">Króla Leara </w:t>
      </w:r>
      <w:r w:rsidRPr="007C51FA">
        <w:rPr>
          <w:rFonts w:ascii="Arial Nova" w:hAnsi="Arial Nova" w:cs="Arial"/>
        </w:rPr>
        <w:t xml:space="preserve">do dramatów Becketta i po kilku latach Brook zrealizował przedstawienie nawiązujące do tego pomysłu, a Kott napisał książkę zatytułowaną najpierw </w:t>
      </w:r>
      <w:r w:rsidRPr="007C51FA">
        <w:rPr>
          <w:rFonts w:ascii="Arial Nova" w:hAnsi="Arial Nova" w:cs="Arial"/>
          <w:i/>
          <w:iCs/>
        </w:rPr>
        <w:t>Szkice o Szekspirze</w:t>
      </w:r>
      <w:r w:rsidRPr="007C51FA">
        <w:rPr>
          <w:rFonts w:ascii="Arial Nova" w:hAnsi="Arial Nova" w:cs="Arial"/>
        </w:rPr>
        <w:t xml:space="preserve">, wydaną później w rozszerzonej wersji pod tytułem </w:t>
      </w:r>
      <w:r w:rsidRPr="007C51FA">
        <w:rPr>
          <w:rFonts w:ascii="Arial Nova" w:hAnsi="Arial Nova" w:cs="Arial"/>
          <w:i/>
          <w:iCs/>
        </w:rPr>
        <w:t>Szekspir współczesny</w:t>
      </w:r>
      <w:r w:rsidRPr="007C51FA">
        <w:rPr>
          <w:rFonts w:ascii="Arial Nova" w:hAnsi="Arial Nova" w:cs="Arial"/>
        </w:rPr>
        <w:t xml:space="preserve"> i przetłumaczonej na wiele języków. Do tej tradycji, podkreślającej aktualność Szekspira dla kolejnych pokoleń czytelników i twórców teatru, kilkakrotnie nawiązuje Seweryn w swoich komentarzach. To w analizach Kotta znalazł źródło do pokazywania mechanizmu koła historii, wspinania się po szczeblach władzy i upadku z najwyższego szczytu. D</w:t>
      </w:r>
      <w:r w:rsidR="00AE5D68" w:rsidRPr="007C51FA">
        <w:rPr>
          <w:rFonts w:ascii="Arial Nova" w:hAnsi="Arial Nova" w:cs="Arial"/>
        </w:rPr>
        <w:t>o tej</w:t>
      </w:r>
      <w:r w:rsidRPr="007C51FA">
        <w:rPr>
          <w:rFonts w:ascii="Arial Nova" w:hAnsi="Arial Nova" w:cs="Arial"/>
        </w:rPr>
        <w:t xml:space="preserve"> warstw</w:t>
      </w:r>
      <w:r w:rsidR="00475BB4" w:rsidRPr="007C51FA">
        <w:rPr>
          <w:rFonts w:ascii="Arial Nova" w:hAnsi="Arial Nova" w:cs="Arial"/>
        </w:rPr>
        <w:t>y</w:t>
      </w:r>
      <w:r w:rsidR="00AE5D68" w:rsidRPr="007C51FA">
        <w:rPr>
          <w:rFonts w:ascii="Arial Nova" w:hAnsi="Arial Nova" w:cs="Arial"/>
        </w:rPr>
        <w:t xml:space="preserve"> należą również</w:t>
      </w:r>
      <w:r w:rsidRPr="007C51FA">
        <w:rPr>
          <w:rFonts w:ascii="Arial Nova" w:hAnsi="Arial Nova" w:cs="Arial"/>
        </w:rPr>
        <w:t xml:space="preserve"> sugestie interpretacyjne</w:t>
      </w:r>
      <w:r w:rsidR="00AE5D68" w:rsidRPr="007C51FA">
        <w:rPr>
          <w:rFonts w:ascii="Arial Nova" w:hAnsi="Arial Nova" w:cs="Arial"/>
        </w:rPr>
        <w:t xml:space="preserve"> często wskazujące, jaki związek ma odczytanie sensu tekstu Szekspira ze światem otaczającym nas tu i teraz. </w:t>
      </w:r>
      <w:r w:rsidRPr="007C51FA">
        <w:rPr>
          <w:rFonts w:ascii="Arial Nova" w:hAnsi="Arial Nova" w:cs="Arial"/>
        </w:rPr>
        <w:t xml:space="preserve"> </w:t>
      </w:r>
    </w:p>
    <w:p w14:paraId="1A152EE2" w14:textId="31FAE419" w:rsidR="00B24799" w:rsidRPr="007C51FA" w:rsidRDefault="00B24799">
      <w:pPr>
        <w:rPr>
          <w:rFonts w:ascii="Arial Nova" w:hAnsi="Arial Nova" w:cs="Arial"/>
        </w:rPr>
      </w:pPr>
      <w:r w:rsidRPr="007C51FA">
        <w:rPr>
          <w:rFonts w:ascii="Arial Nova" w:hAnsi="Arial Nova" w:cs="Arial"/>
        </w:rPr>
        <w:t>I w końcu warstwa trzecia, najważniejsza, wybrane monologi z dramatów</w:t>
      </w:r>
      <w:r w:rsidR="00475BB4" w:rsidRPr="007C51FA">
        <w:rPr>
          <w:rFonts w:ascii="Arial Nova" w:hAnsi="Arial Nova" w:cs="Arial"/>
        </w:rPr>
        <w:t>,</w:t>
      </w:r>
      <w:r w:rsidRPr="007C51FA">
        <w:rPr>
          <w:rFonts w:ascii="Arial Nova" w:hAnsi="Arial Nova" w:cs="Arial"/>
        </w:rPr>
        <w:t xml:space="preserve"> </w:t>
      </w:r>
      <w:r w:rsidR="00D900B7" w:rsidRPr="007C51FA">
        <w:rPr>
          <w:rFonts w:ascii="Arial Nova" w:hAnsi="Arial Nova" w:cs="Arial"/>
        </w:rPr>
        <w:t>z jednej strony</w:t>
      </w:r>
      <w:r w:rsidR="00AE5D68" w:rsidRPr="007C51FA">
        <w:rPr>
          <w:rFonts w:ascii="Arial Nova" w:hAnsi="Arial Nova" w:cs="Arial"/>
        </w:rPr>
        <w:t xml:space="preserve"> przywołujące magię teatru i</w:t>
      </w:r>
      <w:r w:rsidR="00D900B7" w:rsidRPr="007C51FA">
        <w:rPr>
          <w:rFonts w:ascii="Arial Nova" w:hAnsi="Arial Nova" w:cs="Arial"/>
        </w:rPr>
        <w:t xml:space="preserve"> odsłaniające tajniki sztuki aktorskiej, z drugiej pokazujące </w:t>
      </w:r>
      <w:r w:rsidRPr="007C51FA">
        <w:rPr>
          <w:rFonts w:ascii="Arial Nova" w:hAnsi="Arial Nova" w:cs="Arial"/>
        </w:rPr>
        <w:t>złożoność ludzkich postaw i emocji. Pozostawiające widza z pytaniem – czy tak ułożona opowieść składa się na wyrazisty</w:t>
      </w:r>
      <w:r w:rsidR="00AE5D68" w:rsidRPr="007C51FA">
        <w:rPr>
          <w:rFonts w:ascii="Arial Nova" w:hAnsi="Arial Nova" w:cs="Arial"/>
        </w:rPr>
        <w:t>, również dzisiaj poruszający myśli i emocje</w:t>
      </w:r>
      <w:r w:rsidRPr="007C51FA">
        <w:rPr>
          <w:rFonts w:ascii="Arial Nova" w:hAnsi="Arial Nova" w:cs="Arial"/>
        </w:rPr>
        <w:t xml:space="preserve"> obraz</w:t>
      </w:r>
      <w:r w:rsidR="00AE5D68" w:rsidRPr="007C51FA">
        <w:rPr>
          <w:rFonts w:ascii="Arial Nova" w:hAnsi="Arial Nova" w:cs="Arial"/>
        </w:rPr>
        <w:t xml:space="preserve"> teatru i</w:t>
      </w:r>
      <w:r w:rsidRPr="007C51FA">
        <w:rPr>
          <w:rFonts w:ascii="Arial Nova" w:hAnsi="Arial Nova" w:cs="Arial"/>
        </w:rPr>
        <w:t xml:space="preserve"> świata. </w:t>
      </w:r>
    </w:p>
    <w:p w14:paraId="010D6429" w14:textId="23408F44" w:rsidR="007C51FA" w:rsidRPr="007C51FA" w:rsidRDefault="007C51FA">
      <w:pPr>
        <w:rPr>
          <w:rFonts w:ascii="Arial Nova" w:hAnsi="Arial Nova" w:cs="Arial"/>
        </w:rPr>
      </w:pPr>
      <w:r w:rsidRPr="007C51FA">
        <w:rPr>
          <w:rFonts w:ascii="Arial Nova" w:hAnsi="Arial Nova" w:cs="Arial"/>
        </w:rPr>
        <w:t>Zapraszam</w:t>
      </w:r>
    </w:p>
    <w:p w14:paraId="49692834" w14:textId="440A0B6B" w:rsidR="007C51FA" w:rsidRPr="007C51FA" w:rsidRDefault="006F5C4A">
      <w:pPr>
        <w:rPr>
          <w:rFonts w:ascii="Arial Nova" w:hAnsi="Arial Nova" w:cs="Arial"/>
        </w:rPr>
      </w:pPr>
      <w:r>
        <w:rPr>
          <w:rFonts w:ascii="Arial Nova" w:hAnsi="Arial Nova" w:cs="Arial"/>
        </w:rPr>
        <w:t xml:space="preserve">Prof. </w:t>
      </w:r>
      <w:r w:rsidR="007C51FA" w:rsidRPr="007C51FA">
        <w:rPr>
          <w:rFonts w:ascii="Arial Nova" w:hAnsi="Arial Nova" w:cs="Arial"/>
        </w:rPr>
        <w:t xml:space="preserve">Maria </w:t>
      </w:r>
      <w:proofErr w:type="spellStart"/>
      <w:r w:rsidR="007C51FA" w:rsidRPr="007C51FA">
        <w:rPr>
          <w:rFonts w:ascii="Arial Nova" w:hAnsi="Arial Nova" w:cs="Arial"/>
        </w:rPr>
        <w:t>Prussak</w:t>
      </w:r>
      <w:proofErr w:type="spellEnd"/>
      <w:r>
        <w:rPr>
          <w:rFonts w:ascii="Arial Nova" w:hAnsi="Arial Nova" w:cs="Arial"/>
        </w:rPr>
        <w:t xml:space="preserve"> i Stowarzyszenie „De Facto”</w:t>
      </w:r>
    </w:p>
    <w:p w14:paraId="22D1DCB5" w14:textId="0D637C87" w:rsidR="009E32B2" w:rsidRPr="007C51FA" w:rsidRDefault="002A6C07">
      <w:pPr>
        <w:rPr>
          <w:rFonts w:ascii="Arial Nova" w:hAnsi="Arial Nova" w:cs="Arial"/>
        </w:rPr>
      </w:pPr>
      <w:r w:rsidRPr="007C51FA">
        <w:rPr>
          <w:rFonts w:ascii="Arial Nova" w:hAnsi="Arial Nova" w:cs="Arial"/>
        </w:rPr>
        <w:br/>
      </w:r>
    </w:p>
    <w:sectPr w:rsidR="009E32B2" w:rsidRPr="007C51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B2"/>
    <w:rsid w:val="002A6C07"/>
    <w:rsid w:val="002C6EB8"/>
    <w:rsid w:val="00475BB4"/>
    <w:rsid w:val="004957BE"/>
    <w:rsid w:val="00594481"/>
    <w:rsid w:val="006F5C4A"/>
    <w:rsid w:val="007C51FA"/>
    <w:rsid w:val="009E32B2"/>
    <w:rsid w:val="00A01F76"/>
    <w:rsid w:val="00A53C45"/>
    <w:rsid w:val="00A54D4D"/>
    <w:rsid w:val="00AE5D68"/>
    <w:rsid w:val="00B24799"/>
    <w:rsid w:val="00BC080B"/>
    <w:rsid w:val="00D54550"/>
    <w:rsid w:val="00D900B7"/>
    <w:rsid w:val="00DB088C"/>
    <w:rsid w:val="00EF6C2B"/>
    <w:rsid w:val="00F22C64"/>
    <w:rsid w:val="00F82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A32"/>
  <w15:chartTrackingRefBased/>
  <w15:docId w15:val="{4B93FF3E-F23C-4703-8991-5F5647C1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pl-PL"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E3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E3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E32B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E32B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9E32B2"/>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9E32B2"/>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9E32B2"/>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9E32B2"/>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9E32B2"/>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E32B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E32B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E32B2"/>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E32B2"/>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9E32B2"/>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9E32B2"/>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9E32B2"/>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9E32B2"/>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9E32B2"/>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9E3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E32B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E32B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E32B2"/>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9E32B2"/>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9E32B2"/>
    <w:rPr>
      <w:i/>
      <w:iCs/>
      <w:color w:val="404040" w:themeColor="text1" w:themeTint="BF"/>
    </w:rPr>
  </w:style>
  <w:style w:type="paragraph" w:styleId="Akapitzlist">
    <w:name w:val="List Paragraph"/>
    <w:basedOn w:val="Normalny"/>
    <w:uiPriority w:val="34"/>
    <w:qFormat/>
    <w:rsid w:val="009E32B2"/>
    <w:pPr>
      <w:ind w:left="720"/>
      <w:contextualSpacing/>
    </w:pPr>
  </w:style>
  <w:style w:type="character" w:styleId="Wyrnienieintensywne">
    <w:name w:val="Intense Emphasis"/>
    <w:basedOn w:val="Domylnaczcionkaakapitu"/>
    <w:uiPriority w:val="21"/>
    <w:qFormat/>
    <w:rsid w:val="009E32B2"/>
    <w:rPr>
      <w:i/>
      <w:iCs/>
      <w:color w:val="0F4761" w:themeColor="accent1" w:themeShade="BF"/>
    </w:rPr>
  </w:style>
  <w:style w:type="paragraph" w:styleId="Cytatintensywny">
    <w:name w:val="Intense Quote"/>
    <w:basedOn w:val="Normalny"/>
    <w:next w:val="Normalny"/>
    <w:link w:val="CytatintensywnyZnak"/>
    <w:uiPriority w:val="30"/>
    <w:qFormat/>
    <w:rsid w:val="009E3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E32B2"/>
    <w:rPr>
      <w:i/>
      <w:iCs/>
      <w:color w:val="0F4761" w:themeColor="accent1" w:themeShade="BF"/>
    </w:rPr>
  </w:style>
  <w:style w:type="character" w:styleId="Odwoanieintensywne">
    <w:name w:val="Intense Reference"/>
    <w:basedOn w:val="Domylnaczcionkaakapitu"/>
    <w:uiPriority w:val="32"/>
    <w:qFormat/>
    <w:rsid w:val="009E32B2"/>
    <w:rPr>
      <w:b/>
      <w:bCs/>
      <w:smallCaps/>
      <w:color w:val="0F4761" w:themeColor="accent1" w:themeShade="BF"/>
      <w:spacing w:val="5"/>
    </w:rPr>
  </w:style>
  <w:style w:type="character" w:styleId="Hipercze">
    <w:name w:val="Hyperlink"/>
    <w:basedOn w:val="Domylnaczcionkaakapitu"/>
    <w:uiPriority w:val="99"/>
    <w:unhideWhenUsed/>
    <w:rsid w:val="007C51FA"/>
    <w:rPr>
      <w:color w:val="467886" w:themeColor="hyperlink"/>
      <w:u w:val="single"/>
    </w:rPr>
  </w:style>
  <w:style w:type="paragraph" w:customStyle="1" w:styleId="font8">
    <w:name w:val="font_8"/>
    <w:basedOn w:val="Normalny"/>
    <w:rsid w:val="007C51FA"/>
    <w:pPr>
      <w:spacing w:before="100" w:beforeAutospacing="1" w:after="100" w:afterAutospacing="1" w:line="240" w:lineRule="auto"/>
    </w:pPr>
    <w:rPr>
      <w:rFonts w:eastAsia="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3596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Prussak</dc:creator>
  <cp:keywords/>
  <dc:description/>
  <cp:lastModifiedBy>Renata Nych</cp:lastModifiedBy>
  <cp:revision>2</cp:revision>
  <dcterms:created xsi:type="dcterms:W3CDTF">2024-12-18T09:50:00Z</dcterms:created>
  <dcterms:modified xsi:type="dcterms:W3CDTF">2024-12-18T09:50:00Z</dcterms:modified>
</cp:coreProperties>
</file>